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486D" w14:textId="33AFE2AA" w:rsidR="008C612C" w:rsidRDefault="00735F66" w:rsidP="002B1AB0">
      <w:pPr>
        <w:pStyle w:val="Heading1"/>
      </w:pPr>
      <w:bookmarkStart w:id="0" w:name="_GoBack"/>
      <w:bookmarkEnd w:id="0"/>
      <w:r>
        <w:t>Referenc</w:t>
      </w:r>
      <w:r w:rsidR="000D79F9">
        <w:t>E</w:t>
      </w:r>
      <w:r>
        <w:t>s</w:t>
      </w:r>
    </w:p>
    <w:p w14:paraId="24D69509" w14:textId="6F5E5D98" w:rsidR="000D468F" w:rsidRDefault="00F36247" w:rsidP="00F36247">
      <w:pPr>
        <w:pStyle w:val="Heading2"/>
      </w:pPr>
      <w:r>
        <w:t>Chapter 1, Introduction</w:t>
      </w:r>
    </w:p>
    <w:p w14:paraId="1B6B14CE" w14:textId="77777777" w:rsidR="00C30D17" w:rsidRDefault="00C30D17" w:rsidP="00C30D17">
      <w:pPr>
        <w:pStyle w:val="BodyText"/>
        <w:ind w:left="720" w:hanging="720"/>
      </w:pPr>
      <w:r>
        <w:t>No references were used in this chapter.</w:t>
      </w:r>
    </w:p>
    <w:p w14:paraId="5ACEDEEE" w14:textId="2F0D9EAD" w:rsidR="000D468F" w:rsidRDefault="00F36247" w:rsidP="00F36247">
      <w:pPr>
        <w:pStyle w:val="Heading2"/>
      </w:pPr>
      <w:r>
        <w:t xml:space="preserve">Chapter 2, </w:t>
      </w:r>
      <w:r w:rsidRPr="00F36247">
        <w:t>Responses to Comments</w:t>
      </w:r>
    </w:p>
    <w:p w14:paraId="2F6DDCC3" w14:textId="5000BFB6" w:rsidR="003B36F0" w:rsidRDefault="00281698" w:rsidP="00C30D17">
      <w:pPr>
        <w:pStyle w:val="BodyText"/>
      </w:pPr>
      <w:r w:rsidRPr="003B36F0">
        <w:t>AEP</w:t>
      </w:r>
      <w:r w:rsidR="003B36F0">
        <w:t xml:space="preserve">. </w:t>
      </w:r>
      <w:r w:rsidR="003B36F0" w:rsidRPr="003B36F0">
        <w:rPr>
          <w:i/>
          <w:iCs/>
        </w:rPr>
        <w:t>See</w:t>
      </w:r>
      <w:r w:rsidR="003B36F0">
        <w:t xml:space="preserve"> Association of Environmental Professionals.</w:t>
      </w:r>
    </w:p>
    <w:p w14:paraId="13ADA120" w14:textId="2D6F9D68" w:rsidR="00281698" w:rsidRPr="003B36F0" w:rsidRDefault="003B36F0" w:rsidP="00FF57DE">
      <w:pPr>
        <w:pStyle w:val="BodyText"/>
        <w:ind w:left="720" w:hanging="720"/>
      </w:pPr>
      <w:r>
        <w:t xml:space="preserve">Association of Environmental Professionals. </w:t>
      </w:r>
      <w:r w:rsidR="00281698" w:rsidRPr="003B36F0">
        <w:t>2017</w:t>
      </w:r>
      <w:r>
        <w:t xml:space="preserve"> (August). </w:t>
      </w:r>
      <w:r w:rsidRPr="00303121">
        <w:rPr>
          <w:i/>
          <w:iCs/>
        </w:rPr>
        <w:t>Production, Consumption and Lifecycle Greenhouse Gas Inventories: Implication for CEQA and Climate Actions Plans</w:t>
      </w:r>
      <w:r>
        <w:t xml:space="preserve">. Available: </w:t>
      </w:r>
      <w:hyperlink r:id="rId8" w:history="1">
        <w:r w:rsidRPr="003B36F0">
          <w:rPr>
            <w:rStyle w:val="Hyperlink"/>
          </w:rPr>
          <w:t>https://califaep.org/docs/Draft_AEP_White_Paper_Lifecycle_CEQA_CAPs_082017.pdf</w:t>
        </w:r>
      </w:hyperlink>
      <w:r w:rsidRPr="003B36F0">
        <w:t xml:space="preserve">. Accessed May 2021. </w:t>
      </w:r>
    </w:p>
    <w:p w14:paraId="1D297D3C" w14:textId="1A6FD9BC" w:rsidR="003B36F0" w:rsidRPr="003B36F0" w:rsidRDefault="00281698" w:rsidP="00C30D17">
      <w:pPr>
        <w:pStyle w:val="BodyText"/>
      </w:pPr>
      <w:r w:rsidRPr="003B36F0">
        <w:t>CAL FIRE</w:t>
      </w:r>
      <w:r w:rsidR="003B36F0" w:rsidRPr="003B36F0">
        <w:t xml:space="preserve">. </w:t>
      </w:r>
      <w:r w:rsidR="003B36F0" w:rsidRPr="003B36F0">
        <w:rPr>
          <w:i/>
          <w:iCs/>
        </w:rPr>
        <w:t>See</w:t>
      </w:r>
      <w:r w:rsidR="003B36F0" w:rsidRPr="003B36F0">
        <w:t xml:space="preserve"> California Department of Forestry and Fire Protection. </w:t>
      </w:r>
    </w:p>
    <w:p w14:paraId="070B15F4" w14:textId="163C8D0A" w:rsidR="00281698" w:rsidRDefault="003B36F0" w:rsidP="00FF57DE">
      <w:pPr>
        <w:pStyle w:val="BodyText"/>
        <w:ind w:left="720" w:hanging="720"/>
      </w:pPr>
      <w:r w:rsidRPr="003B36F0">
        <w:t>California Department of Forestry and Fire Protection. 2020</w:t>
      </w:r>
      <w:r>
        <w:t xml:space="preserve">. CAL FIRE Stats and Events Available: </w:t>
      </w:r>
      <w:r w:rsidRPr="00B53125">
        <w:t>https://www.fire.ca.gov/stats-events/. Accessed: October 15, 2020.</w:t>
      </w:r>
      <w:r w:rsidR="00281698" w:rsidRPr="00B53125">
        <w:t xml:space="preserve"> </w:t>
      </w:r>
    </w:p>
    <w:p w14:paraId="658C61A2" w14:textId="228264E1" w:rsidR="003B406C" w:rsidRPr="00B53125" w:rsidRDefault="00A731A7" w:rsidP="00FF57DE">
      <w:pPr>
        <w:pStyle w:val="BodyText"/>
        <w:ind w:left="720" w:hanging="720"/>
      </w:pPr>
      <w:r>
        <w:t>———</w:t>
      </w:r>
      <w:r w:rsidRPr="00E90F96">
        <w:t xml:space="preserve">. </w:t>
      </w:r>
      <w:r w:rsidR="003B406C">
        <w:t xml:space="preserve">2021. Vegetation Management Program. Available: </w:t>
      </w:r>
      <w:hyperlink r:id="rId9" w:history="1">
        <w:r w:rsidR="003B406C" w:rsidRPr="00DF5AEE">
          <w:rPr>
            <w:rStyle w:val="Hyperlink"/>
          </w:rPr>
          <w:t>https://www.fire.ca.gov/programs/resource-management/resource-protection-improvement/vegetation-management-program/</w:t>
        </w:r>
      </w:hyperlink>
      <w:r w:rsidR="003B406C">
        <w:t>. Accessed July 30, 2021.</w:t>
      </w:r>
    </w:p>
    <w:p w14:paraId="28FD1A2C" w14:textId="44ABB535" w:rsidR="00281698" w:rsidRPr="006541D1" w:rsidRDefault="006541D1" w:rsidP="00FF57DE">
      <w:pPr>
        <w:pStyle w:val="BodyText"/>
        <w:ind w:left="720" w:hanging="720"/>
      </w:pPr>
      <w:r w:rsidRPr="006541D1">
        <w:t>California Department of Transportation.</w:t>
      </w:r>
      <w:r>
        <w:t xml:space="preserve"> 2020 (September). </w:t>
      </w:r>
      <w:r w:rsidR="00281698" w:rsidRPr="006541D1">
        <w:rPr>
          <w:i/>
          <w:iCs/>
        </w:rPr>
        <w:t>Transportation Analysis Under CEQA, First Edition</w:t>
      </w:r>
      <w:r>
        <w:t xml:space="preserve">. Available: </w:t>
      </w:r>
      <w:hyperlink r:id="rId10" w:history="1">
        <w:r w:rsidRPr="008777DF">
          <w:rPr>
            <w:rStyle w:val="Hyperlink"/>
          </w:rPr>
          <w:t>https://dot.ca.gov/-/media/dot-media/programs/transportation-planning/documents/sb-743/2020-09-10-1st-edition-tac-fnl-a11y.pdf</w:t>
        </w:r>
      </w:hyperlink>
      <w:r>
        <w:t>. Accessed May 2021.</w:t>
      </w:r>
    </w:p>
    <w:p w14:paraId="0BB35F23" w14:textId="7BB9A569" w:rsidR="00C30D17" w:rsidRPr="00203C51" w:rsidRDefault="00C30D17" w:rsidP="00C30D17">
      <w:pPr>
        <w:pStyle w:val="BodyText"/>
        <w:ind w:left="720" w:hanging="720"/>
        <w:rPr>
          <w:spacing w:val="-1"/>
        </w:rPr>
      </w:pPr>
      <w:r w:rsidRPr="00203C51">
        <w:rPr>
          <w:spacing w:val="-1"/>
        </w:rPr>
        <w:t>California Office of Planning and Research. 2018a</w:t>
      </w:r>
      <w:r w:rsidR="00281698" w:rsidRPr="00203C51">
        <w:rPr>
          <w:spacing w:val="-1"/>
        </w:rPr>
        <w:t xml:space="preserve"> (December)</w:t>
      </w:r>
      <w:r w:rsidRPr="00203C51">
        <w:rPr>
          <w:spacing w:val="-1"/>
        </w:rPr>
        <w:t xml:space="preserve">. </w:t>
      </w:r>
      <w:r w:rsidRPr="00203C51">
        <w:rPr>
          <w:i/>
          <w:iCs/>
          <w:spacing w:val="-1"/>
        </w:rPr>
        <w:t>Technical Advisory on Evaluating Transportation Impacts in CEQA</w:t>
      </w:r>
      <w:r w:rsidRPr="00203C51">
        <w:rPr>
          <w:spacing w:val="-1"/>
        </w:rPr>
        <w:t xml:space="preserve">. Available: opr.ca.gov/docs/20190122-743_Technical_Advisory.pdf. Accessed May </w:t>
      </w:r>
      <w:r w:rsidR="00281698" w:rsidRPr="00203C51">
        <w:rPr>
          <w:spacing w:val="-1"/>
        </w:rPr>
        <w:t xml:space="preserve">14 and </w:t>
      </w:r>
      <w:r w:rsidRPr="00203C51">
        <w:rPr>
          <w:spacing w:val="-1"/>
        </w:rPr>
        <w:t>31, 2021.</w:t>
      </w:r>
    </w:p>
    <w:p w14:paraId="7B556F58" w14:textId="77777777" w:rsidR="00C30D17" w:rsidRDefault="00C30D17" w:rsidP="00C30D17">
      <w:pPr>
        <w:pStyle w:val="BodyText"/>
        <w:ind w:left="720" w:hanging="720"/>
      </w:pPr>
      <w:r>
        <w:t>———</w:t>
      </w:r>
      <w:r w:rsidRPr="00E90F96">
        <w:t>. 2018</w:t>
      </w:r>
      <w:r>
        <w:t>b</w:t>
      </w:r>
      <w:r w:rsidRPr="00E90F96">
        <w:t xml:space="preserve">. </w:t>
      </w:r>
      <w:r w:rsidRPr="00E90F96">
        <w:rPr>
          <w:i/>
          <w:iCs/>
        </w:rPr>
        <w:t>The Master Plan for Higher Education in California and State Workforce Needs – A Review</w:t>
      </w:r>
      <w:r w:rsidRPr="00E90F96">
        <w:t>. Available: https://opr.ca.gov/docs/20181226-Master_Plan_Report.pdf. Accessed June 1, 2021.</w:t>
      </w:r>
    </w:p>
    <w:p w14:paraId="179D7490" w14:textId="77777777" w:rsidR="00C30D17" w:rsidRDefault="00C30D17" w:rsidP="00C30D17">
      <w:pPr>
        <w:pStyle w:val="BodyText"/>
        <w:ind w:left="720" w:hanging="720"/>
      </w:pPr>
      <w:r w:rsidRPr="00E90F96">
        <w:t xml:space="preserve">California State Water Resources Control Board. 2021. </w:t>
      </w:r>
      <w:r w:rsidRPr="00E90F96">
        <w:rPr>
          <w:i/>
          <w:iCs/>
        </w:rPr>
        <w:t>Groundwater Protection Program FAQs</w:t>
      </w:r>
      <w:r w:rsidRPr="00E90F96">
        <w:t>. Available: https://www.waterboards.ca.gov/water_issues/programs/gmp/faqs.html. Accessed May 29, 2021.</w:t>
      </w:r>
    </w:p>
    <w:p w14:paraId="29F34759" w14:textId="77777777" w:rsidR="00FF57DE" w:rsidRPr="006541D1" w:rsidRDefault="00FF57DE" w:rsidP="00FF57DE">
      <w:pPr>
        <w:pStyle w:val="BodyText"/>
      </w:pPr>
      <w:r w:rsidRPr="006541D1">
        <w:t xml:space="preserve">Caltrans. </w:t>
      </w:r>
      <w:r w:rsidRPr="00FF57DE">
        <w:rPr>
          <w:i/>
          <w:iCs/>
        </w:rPr>
        <w:t>See</w:t>
      </w:r>
      <w:r w:rsidRPr="006541D1">
        <w:t xml:space="preserve"> California Department of Transportation.</w:t>
      </w:r>
    </w:p>
    <w:p w14:paraId="0E8D79E1" w14:textId="77777777" w:rsidR="00C30D17" w:rsidRDefault="00C30D17" w:rsidP="00C30D17">
      <w:pPr>
        <w:pStyle w:val="BodyText"/>
        <w:ind w:left="720" w:hanging="720"/>
      </w:pPr>
      <w:r w:rsidRPr="00AF180B">
        <w:t xml:space="preserve">City of Santa Cruz. 2011. </w:t>
      </w:r>
      <w:r w:rsidRPr="00AF180B">
        <w:rPr>
          <w:i/>
          <w:iCs/>
        </w:rPr>
        <w:t>General Plan 2030 Draft EIR</w:t>
      </w:r>
      <w:r w:rsidRPr="00AF180B">
        <w:t xml:space="preserve"> – Section 4.6, Public Services. Available: https://www.cityofsantacruz.com/home/showpublisheddocument/22459/635418232770030000. Accessed May 21, 2021.</w:t>
      </w:r>
    </w:p>
    <w:p w14:paraId="64895DBD" w14:textId="77777777" w:rsidR="00C30D17" w:rsidRPr="00AF180B" w:rsidRDefault="00C30D17" w:rsidP="00C30D17">
      <w:pPr>
        <w:pStyle w:val="BodyText"/>
        <w:ind w:left="720" w:hanging="720"/>
      </w:pPr>
      <w:r>
        <w:t>———</w:t>
      </w:r>
      <w:r w:rsidRPr="00AF180B">
        <w:t xml:space="preserve">. 2021. </w:t>
      </w:r>
      <w:r w:rsidRPr="00E90F96">
        <w:rPr>
          <w:i/>
          <w:iCs/>
        </w:rPr>
        <w:t>City of Santa Cruz Water Program – Capital Improvement Projects</w:t>
      </w:r>
      <w:r w:rsidRPr="00AF180B">
        <w:t>. Available: https://www.cityofsantacruz.com/home/showpublisheddocument/83257/637497589200970000. Accessed May 21, 2021.</w:t>
      </w:r>
    </w:p>
    <w:p w14:paraId="15B8D6C9" w14:textId="245AFE8B" w:rsidR="00C30D17" w:rsidRDefault="00C30D17" w:rsidP="00C30D17">
      <w:pPr>
        <w:pStyle w:val="BodyText"/>
        <w:ind w:left="720" w:hanging="720"/>
      </w:pPr>
      <w:proofErr w:type="spellStart"/>
      <w:r w:rsidRPr="002F6921">
        <w:t>EdSource</w:t>
      </w:r>
      <w:proofErr w:type="spellEnd"/>
      <w:r w:rsidRPr="002F6921">
        <w:t xml:space="preserve">. 2020. Amid Pandemic fears of student loss, University of California enrollment remains flat. Available: https://edsource.org/2020/amid-pandemic-fears-of-student-loss-university-of-california-enrollment-remains-flat-bucking-national-trends/644174. Accessed May 3, 2021. </w:t>
      </w:r>
    </w:p>
    <w:p w14:paraId="5384FA5B" w14:textId="77777777" w:rsidR="00281698" w:rsidRPr="00281698" w:rsidRDefault="00281698" w:rsidP="00281698">
      <w:pPr>
        <w:pStyle w:val="BodyText"/>
        <w:ind w:left="720" w:hanging="720"/>
      </w:pPr>
      <w:r w:rsidRPr="00281698">
        <w:t xml:space="preserve">Fire Safe Council of Santa Cruz County. 2021. </w:t>
      </w:r>
      <w:r w:rsidRPr="00281698">
        <w:rPr>
          <w:i/>
          <w:iCs/>
        </w:rPr>
        <w:t>Historic Fires</w:t>
      </w:r>
      <w:r w:rsidRPr="00281698">
        <w:t>. Available: https://www.firesafesantacruz.org/historic-fires. Accessed April 23, 2021.</w:t>
      </w:r>
    </w:p>
    <w:p w14:paraId="664569DC" w14:textId="77777777" w:rsidR="00FF57DE" w:rsidRPr="00203C51" w:rsidRDefault="00FF57DE" w:rsidP="00FF57DE">
      <w:pPr>
        <w:pStyle w:val="BodyText"/>
        <w:ind w:left="720" w:hanging="720"/>
        <w:rPr>
          <w:spacing w:val="-1"/>
        </w:rPr>
      </w:pPr>
      <w:r w:rsidRPr="00203C51">
        <w:rPr>
          <w:spacing w:val="-1"/>
        </w:rPr>
        <w:t>Governor’s Office of Planning and Research. 2018 (December)</w:t>
      </w:r>
      <w:r w:rsidRPr="00203C51">
        <w:rPr>
          <w:i/>
          <w:iCs/>
          <w:spacing w:val="-1"/>
        </w:rPr>
        <w:t xml:space="preserve"> Technical Advisory on Evaluating Transportation Impacts in CEQA. </w:t>
      </w:r>
      <w:r w:rsidRPr="00203C51">
        <w:rPr>
          <w:spacing w:val="-1"/>
        </w:rPr>
        <w:t>Available:</w:t>
      </w:r>
      <w:r w:rsidRPr="00203C51">
        <w:rPr>
          <w:i/>
          <w:iCs/>
          <w:spacing w:val="-1"/>
        </w:rPr>
        <w:t xml:space="preserve"> </w:t>
      </w:r>
      <w:hyperlink r:id="rId11" w:history="1">
        <w:r w:rsidRPr="00203C51">
          <w:rPr>
            <w:rStyle w:val="Hyperlink"/>
            <w:spacing w:val="-1"/>
          </w:rPr>
          <w:t>http://opr.ca.gov/docs/20190122-743_Technical_Advisory.pdf</w:t>
        </w:r>
      </w:hyperlink>
      <w:r w:rsidRPr="00203C51">
        <w:rPr>
          <w:spacing w:val="-1"/>
        </w:rPr>
        <w:t>. Accessed May 2021.</w:t>
      </w:r>
    </w:p>
    <w:p w14:paraId="65CAEB75" w14:textId="77777777" w:rsidR="00281698" w:rsidRPr="00281698" w:rsidRDefault="00281698" w:rsidP="00281698">
      <w:pPr>
        <w:pStyle w:val="BodyText"/>
        <w:ind w:left="720" w:hanging="720"/>
      </w:pPr>
      <w:r w:rsidRPr="00281698">
        <w:t xml:space="preserve">Metropolitan Transportation Commission. 2017. </w:t>
      </w:r>
      <w:r w:rsidRPr="00303121">
        <w:rPr>
          <w:i/>
          <w:iCs/>
        </w:rPr>
        <w:t>How far do Bay Area residents drive each day?</w:t>
      </w:r>
      <w:r w:rsidRPr="00281698">
        <w:t xml:space="preserve"> Available: https:// www.vitalsigns.mtc.ca.gov/daily-miles-traveled. Accessed May 20, 2021.</w:t>
      </w:r>
    </w:p>
    <w:p w14:paraId="04DE13ED" w14:textId="77777777" w:rsidR="00C30D17" w:rsidRPr="00281698" w:rsidRDefault="00C30D17" w:rsidP="00C30D17">
      <w:pPr>
        <w:pStyle w:val="BodyText"/>
      </w:pPr>
      <w:r w:rsidRPr="00281698">
        <w:lastRenderedPageBreak/>
        <w:t xml:space="preserve">OPR. </w:t>
      </w:r>
      <w:r w:rsidRPr="00281698">
        <w:rPr>
          <w:i/>
          <w:iCs/>
        </w:rPr>
        <w:t>See</w:t>
      </w:r>
      <w:r w:rsidRPr="00281698">
        <w:t xml:space="preserve"> California Office of Planning and Research.</w:t>
      </w:r>
    </w:p>
    <w:p w14:paraId="56AF0CAA" w14:textId="77777777" w:rsidR="00C30D17" w:rsidRPr="00281698" w:rsidRDefault="00C30D17" w:rsidP="00C30D17">
      <w:pPr>
        <w:pStyle w:val="BodyText"/>
        <w:ind w:left="720" w:hanging="720"/>
      </w:pPr>
      <w:r w:rsidRPr="00281698">
        <w:t>Santa Cruz County. 2021. Park Impact Fees. Available: www.scparks.com/Portals/12/Park%20Impact%20Fees%20presentation%20Parks%20Commission%2020210208.pdf. Accessed June 1, 2021.</w:t>
      </w:r>
    </w:p>
    <w:p w14:paraId="10A2413D" w14:textId="77777777" w:rsidR="00C30D17" w:rsidRPr="00281698" w:rsidRDefault="00C30D17" w:rsidP="00C30D17">
      <w:pPr>
        <w:pStyle w:val="BodyText"/>
        <w:ind w:left="720" w:hanging="720"/>
      </w:pPr>
      <w:r w:rsidRPr="00281698">
        <w:t xml:space="preserve">Sawyer, J. O., T. Keeler-Wolf, and J. M. Evens. 2009. </w:t>
      </w:r>
      <w:r w:rsidRPr="00281698">
        <w:rPr>
          <w:i/>
          <w:iCs/>
        </w:rPr>
        <w:t>A Manual of California Vegetation</w:t>
      </w:r>
      <w:r w:rsidRPr="00281698">
        <w:t>. Second edition. California Native Plant Society Press, Sacramento, California, USA.</w:t>
      </w:r>
    </w:p>
    <w:p w14:paraId="609B6D9C" w14:textId="77777777" w:rsidR="00FF57DE" w:rsidRPr="006541D1" w:rsidRDefault="00FF57DE" w:rsidP="00FF57DE">
      <w:pPr>
        <w:pStyle w:val="BodyText"/>
        <w:ind w:left="720" w:hanging="720"/>
      </w:pPr>
      <w:r w:rsidRPr="006541D1">
        <w:t>Sempervirens Fund</w:t>
      </w:r>
      <w:r>
        <w:t>.</w:t>
      </w:r>
      <w:r w:rsidRPr="006541D1">
        <w:t xml:space="preserve"> 2020</w:t>
      </w:r>
      <w:r>
        <w:t xml:space="preserve">. Impact Report. Available: </w:t>
      </w:r>
      <w:hyperlink r:id="rId12" w:history="1">
        <w:r w:rsidRPr="008777DF">
          <w:rPr>
            <w:rStyle w:val="Hyperlink"/>
          </w:rPr>
          <w:t>https://sempervirens.org/wp-content/uploads/2021/04/SVF_Impact_2020_Final.pdf</w:t>
        </w:r>
      </w:hyperlink>
      <w:r>
        <w:t xml:space="preserve">. Accessed May 2021. </w:t>
      </w:r>
    </w:p>
    <w:p w14:paraId="51F2C69C" w14:textId="77777777" w:rsidR="00FF57DE" w:rsidRPr="001561C8" w:rsidRDefault="00FF57DE" w:rsidP="00FF57DE">
      <w:pPr>
        <w:pStyle w:val="BodyText"/>
        <w:ind w:left="720" w:hanging="720"/>
        <w:rPr>
          <w:rFonts w:cs="Segoe UI Semilight"/>
          <w:szCs w:val="20"/>
          <w:highlight w:val="cyan"/>
        </w:rPr>
      </w:pPr>
      <w:r>
        <w:t xml:space="preserve">UC Santa Cruz. 2005. </w:t>
      </w:r>
      <w:r w:rsidRPr="00303121">
        <w:rPr>
          <w:i/>
          <w:iCs/>
        </w:rPr>
        <w:t>Long Range Development Plan Environmental Impact Report</w:t>
      </w:r>
      <w:r>
        <w:t>. State Clearinghouse No. 2005012113. Prepared by Jones &amp; Stokes Associates, Inc. San Jose, CA</w:t>
      </w:r>
    </w:p>
    <w:p w14:paraId="47CE2BFC" w14:textId="7FA5362D" w:rsidR="00FF57DE" w:rsidRDefault="00FF57DE" w:rsidP="00FF57DE">
      <w:pPr>
        <w:pStyle w:val="BodyText"/>
        <w:ind w:left="720" w:hanging="720"/>
      </w:pPr>
      <w:r>
        <w:t>———</w:t>
      </w:r>
      <w:r w:rsidRPr="00281698">
        <w:t>. 2021. Updates and Information on Wildfires. Available: Updates and information on wildfires - UC Santa Cruz Status (ucsc.edu). Accessed April 26, 2021.</w:t>
      </w:r>
    </w:p>
    <w:p w14:paraId="6D8520C4" w14:textId="77777777" w:rsidR="00FF57DE" w:rsidRPr="00281698" w:rsidRDefault="00FF57DE" w:rsidP="00FF57DE">
      <w:pPr>
        <w:pStyle w:val="BodyText"/>
      </w:pPr>
      <w:r w:rsidRPr="00281698">
        <w:t xml:space="preserve">UCOP. </w:t>
      </w:r>
      <w:r w:rsidRPr="00281698">
        <w:rPr>
          <w:i/>
          <w:iCs/>
        </w:rPr>
        <w:t>See</w:t>
      </w:r>
      <w:r w:rsidRPr="00281698">
        <w:t xml:space="preserve"> University of California Office of the President.</w:t>
      </w:r>
    </w:p>
    <w:p w14:paraId="5601BB69" w14:textId="1B7F95C5" w:rsidR="00DF1CAC" w:rsidRDefault="00DF1CAC" w:rsidP="00281698">
      <w:pPr>
        <w:pStyle w:val="BodyText"/>
        <w:ind w:left="720" w:hanging="720"/>
      </w:pPr>
      <w:r>
        <w:t xml:space="preserve">University of California Office of the President. 2017. Regents Policy 2109: Policy on Nonresident Student Enrollment. Available: </w:t>
      </w:r>
      <w:hyperlink r:id="rId13" w:history="1">
        <w:r w:rsidRPr="00E7663F">
          <w:rPr>
            <w:rStyle w:val="Hyperlink"/>
          </w:rPr>
          <w:t>https://regents.universityofcalifornia.edu/governance/policies/2109.html</w:t>
        </w:r>
      </w:hyperlink>
      <w:r>
        <w:t>. Accessed July 26, 2021.</w:t>
      </w:r>
    </w:p>
    <w:p w14:paraId="3DC18F7F" w14:textId="33527019" w:rsidR="00281698" w:rsidRDefault="00DF1CAC" w:rsidP="00281698">
      <w:pPr>
        <w:pStyle w:val="BodyText"/>
        <w:ind w:left="720" w:hanging="720"/>
      </w:pPr>
      <w:r>
        <w:t>———</w:t>
      </w:r>
      <w:r w:rsidR="00281698" w:rsidRPr="00AF180B">
        <w:t xml:space="preserve">. </w:t>
      </w:r>
      <w:r w:rsidR="005B18E6">
        <w:t xml:space="preserve">2020a. </w:t>
      </w:r>
      <w:r w:rsidR="005B18E6">
        <w:rPr>
          <w:i/>
          <w:iCs/>
        </w:rPr>
        <w:t xml:space="preserve">Capital Financing Plan 2020-2026. </w:t>
      </w:r>
      <w:r w:rsidR="005B18E6">
        <w:t xml:space="preserve">Available: </w:t>
      </w:r>
      <w:hyperlink r:id="rId14" w:history="1">
        <w:r w:rsidR="005B18E6" w:rsidRPr="00EC67E5">
          <w:rPr>
            <w:rStyle w:val="Hyperlink"/>
          </w:rPr>
          <w:t>https://www.ucop.edu/capital-planning/resources/cfp_2020-26_v_final.pdf</w:t>
        </w:r>
      </w:hyperlink>
      <w:r w:rsidR="005B18E6">
        <w:t>. Accessed July 13, 2021.</w:t>
      </w:r>
    </w:p>
    <w:p w14:paraId="1108702A" w14:textId="38EED0F2" w:rsidR="002458E7" w:rsidRPr="002458E7" w:rsidRDefault="002458E7" w:rsidP="00C30D17">
      <w:pPr>
        <w:pStyle w:val="BodyText"/>
        <w:ind w:left="720" w:hanging="720"/>
      </w:pPr>
      <w:r>
        <w:t>———</w:t>
      </w:r>
      <w:r w:rsidRPr="00AF180B">
        <w:t>.</w:t>
      </w:r>
      <w:r>
        <w:t xml:space="preserve"> </w:t>
      </w:r>
      <w:r w:rsidR="005B18E6" w:rsidRPr="00AF180B">
        <w:t>2020</w:t>
      </w:r>
      <w:r w:rsidR="005B18E6">
        <w:t>b</w:t>
      </w:r>
      <w:r w:rsidR="005B18E6" w:rsidRPr="00AF180B">
        <w:t xml:space="preserve">. </w:t>
      </w:r>
      <w:r w:rsidR="005B18E6" w:rsidRPr="00AF180B">
        <w:rPr>
          <w:i/>
          <w:iCs/>
        </w:rPr>
        <w:t>Facilities Manual</w:t>
      </w:r>
      <w:r w:rsidR="005B18E6" w:rsidRPr="00AF180B">
        <w:t>. Available: https://www.ucop.edu/construction-services/facilities-manual/. Accessed May 19, 2021.</w:t>
      </w:r>
    </w:p>
    <w:p w14:paraId="32BB3523" w14:textId="27CBCB85" w:rsidR="00FF57DE" w:rsidRPr="007214E6" w:rsidRDefault="008E4873" w:rsidP="00FF57DE">
      <w:pPr>
        <w:pStyle w:val="BodyText"/>
        <w:ind w:left="720" w:hanging="720"/>
      </w:pPr>
      <w:bookmarkStart w:id="1" w:name="_Hlk78962050"/>
      <w:r>
        <w:t>———</w:t>
      </w:r>
      <w:r w:rsidRPr="00AF180B">
        <w:t>.</w:t>
      </w:r>
      <w:r>
        <w:t xml:space="preserve"> </w:t>
      </w:r>
      <w:r w:rsidR="00FF57DE" w:rsidRPr="007214E6">
        <w:t>2020</w:t>
      </w:r>
      <w:bookmarkEnd w:id="1"/>
      <w:r w:rsidR="00DC2ED4">
        <w:t>c</w:t>
      </w:r>
      <w:r w:rsidR="00FF57DE" w:rsidRPr="007214E6">
        <w:t xml:space="preserve">. </w:t>
      </w:r>
      <w:r w:rsidR="00FF57DE">
        <w:t xml:space="preserve">UC’s California student enrollment climbs for fourth straight year. Available: </w:t>
      </w:r>
      <w:hyperlink r:id="rId15" w:anchor=":~:text=In%20a%20testament%20to%20the,consecutive%20year%20in%20fall%202019" w:history="1">
        <w:r w:rsidR="00FF57DE" w:rsidRPr="008777DF">
          <w:rPr>
            <w:rStyle w:val="Hyperlink"/>
          </w:rPr>
          <w:t>https://www.universityofcalifornia.edu/press-room/uc-s-california-student-enrollment-climbs-fourth-straight-year#:~:text=In%20a%20testament%20to%20the,consecutive%20year%20in%20fall%202019</w:t>
        </w:r>
      </w:hyperlink>
      <w:r w:rsidR="00FF57DE" w:rsidRPr="007214E6">
        <w:t>.</w:t>
      </w:r>
      <w:r w:rsidR="00FF57DE">
        <w:t xml:space="preserve"> Accessed May 26, 2021.</w:t>
      </w:r>
    </w:p>
    <w:p w14:paraId="1B793980" w14:textId="027E8384" w:rsidR="00C30D17" w:rsidRDefault="00C30D17" w:rsidP="00C30D17">
      <w:pPr>
        <w:pStyle w:val="BodyText"/>
        <w:ind w:left="720" w:hanging="720"/>
      </w:pPr>
      <w:r w:rsidRPr="002F6921">
        <w:t xml:space="preserve">U.S. Department of Housing and Urban Development. 2019. </w:t>
      </w:r>
      <w:r w:rsidRPr="00FF57DE">
        <w:rPr>
          <w:i/>
          <w:iCs/>
        </w:rPr>
        <w:t>Comprehensive Housing Market Analysis</w:t>
      </w:r>
      <w:r w:rsidRPr="002F6921">
        <w:t>. Available: https://www.huduser.gov/portal/publications/pdf/SantaCruzCA-CHMA-19.pdf. Accessed May 26, 2021.</w:t>
      </w:r>
    </w:p>
    <w:p w14:paraId="68EF340B" w14:textId="4EF0D1AB" w:rsidR="00FF57DE" w:rsidRDefault="008E4873" w:rsidP="00FF57DE">
      <w:pPr>
        <w:pStyle w:val="BodyText"/>
        <w:ind w:left="720" w:hanging="720"/>
      </w:pPr>
      <w:r w:rsidRPr="002F6921">
        <w:t xml:space="preserve">U.S. </w:t>
      </w:r>
      <w:r w:rsidR="00FF57DE">
        <w:t xml:space="preserve">Department of Transportation. 2017 (February 1). </w:t>
      </w:r>
      <w:r w:rsidR="00FF57DE" w:rsidRPr="00FF57DE">
        <w:rPr>
          <w:i/>
          <w:iCs/>
        </w:rPr>
        <w:t>Freeway Management and Operations Handbook</w:t>
      </w:r>
      <w:r w:rsidR="00FF57DE">
        <w:t xml:space="preserve">. Available: </w:t>
      </w:r>
      <w:hyperlink r:id="rId16" w:history="1">
        <w:r w:rsidR="00FF57DE" w:rsidRPr="00B63FDB">
          <w:rPr>
            <w:rStyle w:val="Hyperlink"/>
          </w:rPr>
          <w:t>https://ops.fhwa.dot.gov/freewaymgmt/publications/frwy_mgmt_handbook/chapter5.htm</w:t>
        </w:r>
      </w:hyperlink>
      <w:r w:rsidR="00FF57DE">
        <w:t xml:space="preserve">. Accessed July 25, 2021. </w:t>
      </w:r>
    </w:p>
    <w:p w14:paraId="4A88040B" w14:textId="62D8F928" w:rsidR="00251445" w:rsidRDefault="00251445" w:rsidP="00C30D17">
      <w:pPr>
        <w:pStyle w:val="BodyText"/>
        <w:ind w:left="720" w:hanging="720"/>
      </w:pPr>
      <w:r>
        <w:t xml:space="preserve">US DOT. </w:t>
      </w:r>
      <w:r w:rsidRPr="00FF57DE">
        <w:rPr>
          <w:i/>
          <w:iCs/>
        </w:rPr>
        <w:t>See</w:t>
      </w:r>
      <w:r>
        <w:t xml:space="preserve"> </w:t>
      </w:r>
      <w:r w:rsidR="008E4873" w:rsidRPr="002F6921">
        <w:t xml:space="preserve">U.S. </w:t>
      </w:r>
      <w:r>
        <w:t xml:space="preserve">Department of Transportation. </w:t>
      </w:r>
    </w:p>
    <w:p w14:paraId="325C9566" w14:textId="09A7DE02" w:rsidR="00F36247" w:rsidRDefault="00274020" w:rsidP="00274020">
      <w:pPr>
        <w:pStyle w:val="Heading2"/>
      </w:pPr>
      <w:r>
        <w:t>Chapter 3, Mitigation Monitoring and Reporting Program</w:t>
      </w:r>
    </w:p>
    <w:p w14:paraId="6C3B719F" w14:textId="6DCE906C" w:rsidR="005944B9" w:rsidRDefault="00C30D17" w:rsidP="005944B9">
      <w:pPr>
        <w:pStyle w:val="BodyText"/>
        <w:ind w:left="720" w:hanging="720"/>
      </w:pPr>
      <w:r>
        <w:t>No references were used in this chapter.</w:t>
      </w:r>
    </w:p>
    <w:p w14:paraId="798BE94D" w14:textId="0E8B5B7E" w:rsidR="00F36247" w:rsidRDefault="00274020" w:rsidP="00274020">
      <w:pPr>
        <w:pStyle w:val="Heading2"/>
      </w:pPr>
      <w:r>
        <w:t xml:space="preserve">Chapter 4, </w:t>
      </w:r>
      <w:r w:rsidRPr="00274020">
        <w:t>Corrections and Revisions to the Draft EIR</w:t>
      </w:r>
    </w:p>
    <w:p w14:paraId="2D6C98AA" w14:textId="66F93080" w:rsidR="00251A27" w:rsidRDefault="00C30D17" w:rsidP="00C30D17">
      <w:pPr>
        <w:pStyle w:val="BodyText"/>
        <w:ind w:left="720" w:hanging="720"/>
      </w:pPr>
      <w:r>
        <w:t>No references were used in this chapter.</w:t>
      </w:r>
    </w:p>
    <w:sectPr w:rsidR="00251A27" w:rsidSect="00864CD0">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576" w:footer="57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83AC9" w14:textId="77777777" w:rsidR="00735F66" w:rsidRDefault="00735F66" w:rsidP="00B53904">
      <w:r>
        <w:separator/>
      </w:r>
    </w:p>
  </w:endnote>
  <w:endnote w:type="continuationSeparator" w:id="0">
    <w:p w14:paraId="3EF7E3C7" w14:textId="77777777" w:rsidR="00735F66" w:rsidRDefault="00735F66"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45DD" w14:textId="77777777" w:rsidR="00481006" w:rsidRDefault="00481006" w:rsidP="00481006">
    <w:pPr>
      <w:pStyle w:val="Footer"/>
    </w:pPr>
    <w:r>
      <w:t>Public Comments, Responses, MMRP, and Final Revisions</w:t>
    </w:r>
    <w:r>
      <w:tab/>
      <w:t>UC Santa Cruz</w:t>
    </w:r>
    <w:r>
      <w:br/>
    </w:r>
    <w:r>
      <w:fldChar w:fldCharType="begin"/>
    </w:r>
    <w:r>
      <w:instrText xml:space="preserve"> PAGE   \* MERGEFORMAT </w:instrText>
    </w:r>
    <w:r>
      <w:fldChar w:fldCharType="separate"/>
    </w:r>
    <w:r>
      <w:t>2-28</w:t>
    </w:r>
    <w:r>
      <w:fldChar w:fldCharType="end"/>
    </w:r>
    <w:r>
      <w:tab/>
      <w:t>2021 Long Range Development Plan EIR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C0D0" w14:textId="77777777" w:rsidR="00481006" w:rsidRDefault="00481006" w:rsidP="00481006">
    <w:pPr>
      <w:pStyle w:val="Footer"/>
    </w:pPr>
    <w:r>
      <w:t>UC Santa Cruz</w:t>
    </w:r>
    <w:r>
      <w:tab/>
      <w:t>Public Comments, Responses, MMRP, and Final Revisions</w:t>
    </w:r>
    <w:r>
      <w:br/>
      <w:t>2021 Long Range Development Plan EIR</w:t>
    </w:r>
    <w:r>
      <w:tab/>
    </w:r>
    <w:r>
      <w:fldChar w:fldCharType="begin"/>
    </w:r>
    <w:r>
      <w:instrText xml:space="preserve"> PAGE   \* MERGEFORMAT </w:instrText>
    </w:r>
    <w:r>
      <w:fldChar w:fldCharType="separate"/>
    </w:r>
    <w:r>
      <w:t>2-27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5594" w14:textId="77777777" w:rsidR="00481006" w:rsidRDefault="00481006" w:rsidP="00481006">
    <w:pPr>
      <w:pStyle w:val="Footer"/>
    </w:pPr>
    <w:r>
      <w:t>UC Santa Cruz</w:t>
    </w:r>
    <w:r>
      <w:tab/>
      <w:t>Public Comments, Responses, MMRP, and Final Revisions</w:t>
    </w:r>
    <w:r>
      <w:br/>
      <w:t>2021 Long Range Development Plan EIR</w:t>
    </w:r>
    <w:r>
      <w:tab/>
    </w:r>
    <w:r>
      <w:fldChar w:fldCharType="begin"/>
    </w:r>
    <w:r>
      <w:instrText xml:space="preserve"> PAGE   \* MERGEFORMAT </w:instrText>
    </w:r>
    <w:r>
      <w:fldChar w:fldCharType="separate"/>
    </w:r>
    <w:r>
      <w:t>2-27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22E5" w14:textId="77777777" w:rsidR="00735F66" w:rsidRDefault="00735F66" w:rsidP="00B53904">
      <w:r>
        <w:separator/>
      </w:r>
    </w:p>
  </w:footnote>
  <w:footnote w:type="continuationSeparator" w:id="0">
    <w:p w14:paraId="63285059" w14:textId="77777777" w:rsidR="00735F66" w:rsidRDefault="00735F66"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BBFB" w14:textId="58B57AB8" w:rsidR="009C2FB3" w:rsidRPr="0076084A" w:rsidRDefault="003E1746" w:rsidP="009C2FB3">
    <w:pPr>
      <w:pStyle w:val="Header"/>
    </w:pPr>
    <w:r>
      <w:t>References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B32C" w14:textId="3A01E6EB" w:rsidR="00864CD0" w:rsidRPr="0076084A" w:rsidRDefault="00864CD0" w:rsidP="00864CD0">
    <w:pPr>
      <w:pStyle w:val="Header"/>
    </w:pPr>
    <w:r>
      <w:tab/>
    </w:r>
    <w:r>
      <w:tab/>
    </w:r>
    <w:r w:rsidR="003E1746">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5EC6" w14:textId="59F5E07E" w:rsidR="00864CD0" w:rsidRPr="00576FBD" w:rsidRDefault="00864CD0" w:rsidP="00A22C19">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0E3A2280"/>
    <w:lvl w:ilvl="0">
      <w:start w:val="5"/>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20"/>
  </w:num>
  <w:num w:numId="4">
    <w:abstractNumId w:val="10"/>
  </w:num>
  <w:num w:numId="5">
    <w:abstractNumId w:val="16"/>
  </w:num>
  <w:num w:numId="6">
    <w:abstractNumId w:val="12"/>
  </w:num>
  <w:num w:numId="7">
    <w:abstractNumId w:val="19"/>
  </w:num>
  <w:num w:numId="8">
    <w:abstractNumId w:val="11"/>
  </w:num>
  <w:num w:numId="9">
    <w:abstractNumId w:val="14"/>
  </w:num>
  <w:num w:numId="10">
    <w:abstractNumId w:val="17"/>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g1j44TzrLApAy4POWWvfBFarRKY6FU91R0lg0LEP+BzaW58PPLIGOe3vXVu2HJQHT+jeF3HUKzK0tza+ilPnaA==" w:salt="CPH7+sKqlXHGP76tu+Ah+Q=="/>
  <w:defaultTabStop w:val="720"/>
  <w:evenAndOddHeaders/>
  <w:drawingGridHorizontalSpacing w:val="11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D42"/>
    <w:rsid w:val="00001F77"/>
    <w:rsid w:val="000625D9"/>
    <w:rsid w:val="0006604D"/>
    <w:rsid w:val="00095E34"/>
    <w:rsid w:val="000A6DA9"/>
    <w:rsid w:val="000B11E6"/>
    <w:rsid w:val="000D27DB"/>
    <w:rsid w:val="000D468F"/>
    <w:rsid w:val="000D79F9"/>
    <w:rsid w:val="000F61D1"/>
    <w:rsid w:val="00100B92"/>
    <w:rsid w:val="00105976"/>
    <w:rsid w:val="00107CD3"/>
    <w:rsid w:val="00110F3D"/>
    <w:rsid w:val="00120FBF"/>
    <w:rsid w:val="00126858"/>
    <w:rsid w:val="00144819"/>
    <w:rsid w:val="00152153"/>
    <w:rsid w:val="00166C25"/>
    <w:rsid w:val="001901AD"/>
    <w:rsid w:val="001A6158"/>
    <w:rsid w:val="001B6C70"/>
    <w:rsid w:val="001E2737"/>
    <w:rsid w:val="00200F03"/>
    <w:rsid w:val="00203C51"/>
    <w:rsid w:val="002116FD"/>
    <w:rsid w:val="00225357"/>
    <w:rsid w:val="00225E72"/>
    <w:rsid w:val="00244ED8"/>
    <w:rsid w:val="002458E7"/>
    <w:rsid w:val="00251445"/>
    <w:rsid w:val="0025192C"/>
    <w:rsid w:val="00251A27"/>
    <w:rsid w:val="00271F95"/>
    <w:rsid w:val="00274020"/>
    <w:rsid w:val="00281698"/>
    <w:rsid w:val="00281DFF"/>
    <w:rsid w:val="002926CA"/>
    <w:rsid w:val="002957C6"/>
    <w:rsid w:val="00295848"/>
    <w:rsid w:val="00297F83"/>
    <w:rsid w:val="002B1AB0"/>
    <w:rsid w:val="002C46CD"/>
    <w:rsid w:val="002D4E18"/>
    <w:rsid w:val="002F004A"/>
    <w:rsid w:val="00303121"/>
    <w:rsid w:val="00382441"/>
    <w:rsid w:val="003A16F5"/>
    <w:rsid w:val="003B1665"/>
    <w:rsid w:val="003B1AC6"/>
    <w:rsid w:val="003B36F0"/>
    <w:rsid w:val="003B406C"/>
    <w:rsid w:val="003C1F8F"/>
    <w:rsid w:val="003D0227"/>
    <w:rsid w:val="003D38C8"/>
    <w:rsid w:val="003D3996"/>
    <w:rsid w:val="003D548F"/>
    <w:rsid w:val="003E1746"/>
    <w:rsid w:val="003F1293"/>
    <w:rsid w:val="003F6373"/>
    <w:rsid w:val="0041486D"/>
    <w:rsid w:val="00435A90"/>
    <w:rsid w:val="00474AD8"/>
    <w:rsid w:val="00475028"/>
    <w:rsid w:val="0048005D"/>
    <w:rsid w:val="00481006"/>
    <w:rsid w:val="00483F94"/>
    <w:rsid w:val="0048444A"/>
    <w:rsid w:val="004926C5"/>
    <w:rsid w:val="00493305"/>
    <w:rsid w:val="004B6D7F"/>
    <w:rsid w:val="004C2262"/>
    <w:rsid w:val="00506DB3"/>
    <w:rsid w:val="00513673"/>
    <w:rsid w:val="0051402D"/>
    <w:rsid w:val="00516262"/>
    <w:rsid w:val="00517D31"/>
    <w:rsid w:val="00527C5E"/>
    <w:rsid w:val="00553D36"/>
    <w:rsid w:val="00576FBD"/>
    <w:rsid w:val="005856F6"/>
    <w:rsid w:val="005944B9"/>
    <w:rsid w:val="005B18E6"/>
    <w:rsid w:val="005C1DA2"/>
    <w:rsid w:val="00611CE3"/>
    <w:rsid w:val="006354BD"/>
    <w:rsid w:val="006541D1"/>
    <w:rsid w:val="00681C0D"/>
    <w:rsid w:val="00695672"/>
    <w:rsid w:val="00695A0C"/>
    <w:rsid w:val="00696687"/>
    <w:rsid w:val="006D382E"/>
    <w:rsid w:val="006E09C4"/>
    <w:rsid w:val="006E52D2"/>
    <w:rsid w:val="0070184F"/>
    <w:rsid w:val="00706C24"/>
    <w:rsid w:val="00713821"/>
    <w:rsid w:val="007152E2"/>
    <w:rsid w:val="007214E6"/>
    <w:rsid w:val="00721583"/>
    <w:rsid w:val="00732604"/>
    <w:rsid w:val="00734ED3"/>
    <w:rsid w:val="00735F66"/>
    <w:rsid w:val="0074277B"/>
    <w:rsid w:val="00742FA4"/>
    <w:rsid w:val="00744C1A"/>
    <w:rsid w:val="007462C5"/>
    <w:rsid w:val="00752281"/>
    <w:rsid w:val="0075794F"/>
    <w:rsid w:val="0076084A"/>
    <w:rsid w:val="00761CAA"/>
    <w:rsid w:val="00764364"/>
    <w:rsid w:val="0076473C"/>
    <w:rsid w:val="00790C10"/>
    <w:rsid w:val="0079461D"/>
    <w:rsid w:val="007A5EED"/>
    <w:rsid w:val="007B13EA"/>
    <w:rsid w:val="007B68F4"/>
    <w:rsid w:val="007D26EE"/>
    <w:rsid w:val="007D7134"/>
    <w:rsid w:val="007E3C0D"/>
    <w:rsid w:val="007E3DD3"/>
    <w:rsid w:val="00807657"/>
    <w:rsid w:val="0081672D"/>
    <w:rsid w:val="00823C85"/>
    <w:rsid w:val="008370DB"/>
    <w:rsid w:val="00854029"/>
    <w:rsid w:val="00864CD0"/>
    <w:rsid w:val="00871109"/>
    <w:rsid w:val="00881035"/>
    <w:rsid w:val="00885769"/>
    <w:rsid w:val="008928AE"/>
    <w:rsid w:val="00892E4C"/>
    <w:rsid w:val="008A463A"/>
    <w:rsid w:val="008A5A0E"/>
    <w:rsid w:val="008C612C"/>
    <w:rsid w:val="008E11E6"/>
    <w:rsid w:val="008E4873"/>
    <w:rsid w:val="008E5ACA"/>
    <w:rsid w:val="00903B7F"/>
    <w:rsid w:val="009328EF"/>
    <w:rsid w:val="00942111"/>
    <w:rsid w:val="009752EC"/>
    <w:rsid w:val="00984D42"/>
    <w:rsid w:val="009A35DE"/>
    <w:rsid w:val="009B4A9B"/>
    <w:rsid w:val="009B5E4B"/>
    <w:rsid w:val="009C2FB3"/>
    <w:rsid w:val="009C320E"/>
    <w:rsid w:val="009C3479"/>
    <w:rsid w:val="009C4B1B"/>
    <w:rsid w:val="009D2248"/>
    <w:rsid w:val="009D34A1"/>
    <w:rsid w:val="009D7C70"/>
    <w:rsid w:val="00A22C19"/>
    <w:rsid w:val="00A32FD4"/>
    <w:rsid w:val="00A34F28"/>
    <w:rsid w:val="00A43AFE"/>
    <w:rsid w:val="00A469AA"/>
    <w:rsid w:val="00A731A7"/>
    <w:rsid w:val="00A83AA8"/>
    <w:rsid w:val="00A9257E"/>
    <w:rsid w:val="00AA10DA"/>
    <w:rsid w:val="00AA250A"/>
    <w:rsid w:val="00AB324B"/>
    <w:rsid w:val="00AE5BF7"/>
    <w:rsid w:val="00AF46E8"/>
    <w:rsid w:val="00B07C0D"/>
    <w:rsid w:val="00B10AE1"/>
    <w:rsid w:val="00B37E1E"/>
    <w:rsid w:val="00B53125"/>
    <w:rsid w:val="00B53904"/>
    <w:rsid w:val="00B54ECA"/>
    <w:rsid w:val="00B56432"/>
    <w:rsid w:val="00B75D1D"/>
    <w:rsid w:val="00B9624A"/>
    <w:rsid w:val="00BA506C"/>
    <w:rsid w:val="00BC639C"/>
    <w:rsid w:val="00BE2039"/>
    <w:rsid w:val="00BF3BE6"/>
    <w:rsid w:val="00C06982"/>
    <w:rsid w:val="00C12767"/>
    <w:rsid w:val="00C30D17"/>
    <w:rsid w:val="00C34769"/>
    <w:rsid w:val="00C36FA1"/>
    <w:rsid w:val="00C66209"/>
    <w:rsid w:val="00C877FA"/>
    <w:rsid w:val="00C95451"/>
    <w:rsid w:val="00C978DA"/>
    <w:rsid w:val="00CC394E"/>
    <w:rsid w:val="00CC6793"/>
    <w:rsid w:val="00CD2BA5"/>
    <w:rsid w:val="00CE02D0"/>
    <w:rsid w:val="00CF2857"/>
    <w:rsid w:val="00CF6825"/>
    <w:rsid w:val="00D070E8"/>
    <w:rsid w:val="00D2760B"/>
    <w:rsid w:val="00D27FDF"/>
    <w:rsid w:val="00D72163"/>
    <w:rsid w:val="00D774E9"/>
    <w:rsid w:val="00D870CF"/>
    <w:rsid w:val="00DA4269"/>
    <w:rsid w:val="00DA649D"/>
    <w:rsid w:val="00DB7EEF"/>
    <w:rsid w:val="00DC2ED4"/>
    <w:rsid w:val="00DC7A32"/>
    <w:rsid w:val="00DD0A48"/>
    <w:rsid w:val="00DD5308"/>
    <w:rsid w:val="00DE7461"/>
    <w:rsid w:val="00DF1CAC"/>
    <w:rsid w:val="00DF35F8"/>
    <w:rsid w:val="00E02A30"/>
    <w:rsid w:val="00E02F7F"/>
    <w:rsid w:val="00E145AE"/>
    <w:rsid w:val="00E20A49"/>
    <w:rsid w:val="00E33735"/>
    <w:rsid w:val="00E716E7"/>
    <w:rsid w:val="00E777B0"/>
    <w:rsid w:val="00E83009"/>
    <w:rsid w:val="00EA1401"/>
    <w:rsid w:val="00EA32D0"/>
    <w:rsid w:val="00EB170D"/>
    <w:rsid w:val="00ED3EEA"/>
    <w:rsid w:val="00EE1960"/>
    <w:rsid w:val="00EE37F3"/>
    <w:rsid w:val="00EE3F8B"/>
    <w:rsid w:val="00EF04E6"/>
    <w:rsid w:val="00EF2180"/>
    <w:rsid w:val="00F22CAB"/>
    <w:rsid w:val="00F26B04"/>
    <w:rsid w:val="00F36247"/>
    <w:rsid w:val="00F55BC2"/>
    <w:rsid w:val="00F74735"/>
    <w:rsid w:val="00F835E4"/>
    <w:rsid w:val="00F844CF"/>
    <w:rsid w:val="00F87208"/>
    <w:rsid w:val="00F87436"/>
    <w:rsid w:val="00FA6AE3"/>
    <w:rsid w:val="00FC349C"/>
    <w:rsid w:val="00FC37AB"/>
    <w:rsid w:val="00FD64BB"/>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01EC980"/>
  <w15:docId w15:val="{625F7C38-D3B9-4E5C-9EBC-761B6247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AB0"/>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2B1AB0"/>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2B1AB0"/>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2B1AB0"/>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2B1AB0"/>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2B1AB0"/>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2B1AB0"/>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2B1AB0"/>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2B1AB0"/>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2B1AB0"/>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uiPriority w:val="99"/>
    <w:qFormat/>
    <w:rsid w:val="002B1AB0"/>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uiPriority w:val="99"/>
    <w:rsid w:val="002B1AB0"/>
    <w:rPr>
      <w:rFonts w:ascii="Segoe UI Semilight" w:hAnsi="Segoe UI Semilight"/>
      <w:sz w:val="20"/>
    </w:rPr>
  </w:style>
  <w:style w:type="paragraph" w:customStyle="1" w:styleId="Bullet1">
    <w:name w:val="Bullet 1"/>
    <w:basedOn w:val="Normal"/>
    <w:qFormat/>
    <w:rsid w:val="002B1AB0"/>
    <w:pPr>
      <w:numPr>
        <w:numId w:val="1"/>
      </w:numPr>
      <w:spacing w:after="120"/>
    </w:pPr>
    <w:rPr>
      <w:bCs/>
    </w:rPr>
  </w:style>
  <w:style w:type="paragraph" w:customStyle="1" w:styleId="Bullet2">
    <w:name w:val="Bullet 2"/>
    <w:basedOn w:val="Normal"/>
    <w:qFormat/>
    <w:rsid w:val="002B1AB0"/>
    <w:pPr>
      <w:numPr>
        <w:numId w:val="2"/>
      </w:numPr>
      <w:spacing w:after="120"/>
    </w:pPr>
    <w:rPr>
      <w:bCs/>
    </w:rPr>
  </w:style>
  <w:style w:type="paragraph" w:customStyle="1" w:styleId="Bullet3">
    <w:name w:val="Bullet 3"/>
    <w:basedOn w:val="Normal"/>
    <w:qFormat/>
    <w:rsid w:val="002B1AB0"/>
    <w:pPr>
      <w:numPr>
        <w:numId w:val="3"/>
      </w:numPr>
      <w:tabs>
        <w:tab w:val="left" w:pos="1080"/>
      </w:tabs>
      <w:spacing w:after="120"/>
    </w:pPr>
    <w:rPr>
      <w:rFonts w:eastAsia="Calibri"/>
      <w:bCs/>
      <w:noProof/>
    </w:rPr>
  </w:style>
  <w:style w:type="paragraph" w:styleId="Footer">
    <w:name w:val="footer"/>
    <w:basedOn w:val="Normal"/>
    <w:link w:val="FooterChar"/>
    <w:uiPriority w:val="99"/>
    <w:rsid w:val="002B1AB0"/>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2B1AB0"/>
    <w:rPr>
      <w:rFonts w:ascii="Segoe UI Semilight" w:hAnsi="Segoe UI Semilight"/>
      <w:color w:val="404040" w:themeColor="text1" w:themeTint="BF"/>
      <w:w w:val="90"/>
      <w:sz w:val="18"/>
    </w:rPr>
  </w:style>
  <w:style w:type="paragraph" w:customStyle="1" w:styleId="FooterLandscape">
    <w:name w:val="Footer_Landscape"/>
    <w:basedOn w:val="Footer"/>
    <w:qFormat/>
    <w:rsid w:val="002B1AB0"/>
    <w:pPr>
      <w:tabs>
        <w:tab w:val="clear" w:pos="10080"/>
        <w:tab w:val="right" w:pos="13680"/>
      </w:tabs>
    </w:pPr>
  </w:style>
  <w:style w:type="paragraph" w:customStyle="1" w:styleId="footnote">
    <w:name w:val="footnote"/>
    <w:basedOn w:val="Normal"/>
    <w:qFormat/>
    <w:rsid w:val="002B1AB0"/>
    <w:pPr>
      <w:ind w:left="180" w:hanging="180"/>
    </w:pPr>
    <w:rPr>
      <w:bCs/>
      <w:sz w:val="16"/>
    </w:rPr>
  </w:style>
  <w:style w:type="paragraph" w:customStyle="1" w:styleId="footnoteref">
    <w:name w:val="footnoteref"/>
    <w:basedOn w:val="Normal"/>
    <w:qFormat/>
    <w:rsid w:val="002B1AB0"/>
    <w:pPr>
      <w:ind w:left="180" w:hanging="180"/>
    </w:pPr>
    <w:rPr>
      <w:bCs/>
      <w:sz w:val="16"/>
      <w:vertAlign w:val="superscript"/>
    </w:rPr>
  </w:style>
  <w:style w:type="paragraph" w:styleId="Header">
    <w:name w:val="header"/>
    <w:basedOn w:val="Normal"/>
    <w:link w:val="HeaderChar"/>
    <w:uiPriority w:val="99"/>
    <w:rsid w:val="002B1AB0"/>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2B1AB0"/>
    <w:rPr>
      <w:rFonts w:ascii="Segoe UI Semilight" w:hAnsi="Segoe UI Semilight"/>
      <w:color w:val="404040" w:themeColor="text1" w:themeTint="BF"/>
      <w:w w:val="90"/>
      <w:sz w:val="18"/>
    </w:rPr>
  </w:style>
  <w:style w:type="paragraph" w:customStyle="1" w:styleId="HeaderLandscape">
    <w:name w:val="Header_Landscape"/>
    <w:basedOn w:val="Header"/>
    <w:qFormat/>
    <w:rsid w:val="002B1AB0"/>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2B1AB0"/>
    <w:rPr>
      <w:rFonts w:ascii="Trebuchet MS" w:hAnsi="Trebuchet MS"/>
      <w:bCs/>
      <w:caps/>
      <w:sz w:val="36"/>
      <w:szCs w:val="28"/>
    </w:rPr>
  </w:style>
  <w:style w:type="character" w:customStyle="1" w:styleId="Heading2Char">
    <w:name w:val="Heading 2 Char"/>
    <w:basedOn w:val="DefaultParagraphFont"/>
    <w:link w:val="Heading2"/>
    <w:uiPriority w:val="9"/>
    <w:rsid w:val="002B1AB0"/>
    <w:rPr>
      <w:rFonts w:ascii="Trebuchet MS" w:hAnsi="Trebuchet MS"/>
      <w:caps/>
      <w:sz w:val="32"/>
      <w:szCs w:val="26"/>
    </w:rPr>
  </w:style>
  <w:style w:type="character" w:customStyle="1" w:styleId="Heading3Char">
    <w:name w:val="Heading 3 Char"/>
    <w:basedOn w:val="DefaultParagraphFont"/>
    <w:link w:val="Heading3"/>
    <w:uiPriority w:val="9"/>
    <w:rsid w:val="002B1AB0"/>
    <w:rPr>
      <w:rFonts w:ascii="Trebuchet MS" w:hAnsi="Trebuchet MS"/>
      <w:bCs/>
      <w:sz w:val="32"/>
    </w:rPr>
  </w:style>
  <w:style w:type="character" w:customStyle="1" w:styleId="Heading4Char">
    <w:name w:val="Heading 4 Char"/>
    <w:basedOn w:val="DefaultParagraphFont"/>
    <w:link w:val="Heading4"/>
    <w:uiPriority w:val="9"/>
    <w:rsid w:val="002B1AB0"/>
    <w:rPr>
      <w:rFonts w:ascii="Trebuchet MS" w:hAnsi="Trebuchet MS"/>
      <w:caps/>
      <w:sz w:val="28"/>
    </w:rPr>
  </w:style>
  <w:style w:type="character" w:customStyle="1" w:styleId="Heading5Char">
    <w:name w:val="Heading 5 Char"/>
    <w:basedOn w:val="DefaultParagraphFont"/>
    <w:link w:val="Heading5"/>
    <w:uiPriority w:val="9"/>
    <w:rsid w:val="002B1AB0"/>
    <w:rPr>
      <w:rFonts w:ascii="Trebuchet MS" w:hAnsi="Trebuchet MS"/>
      <w:sz w:val="24"/>
      <w:szCs w:val="26"/>
    </w:rPr>
  </w:style>
  <w:style w:type="character" w:customStyle="1" w:styleId="Heading6Char">
    <w:name w:val="Heading 6 Char"/>
    <w:basedOn w:val="DefaultParagraphFont"/>
    <w:link w:val="Heading6"/>
    <w:uiPriority w:val="9"/>
    <w:rsid w:val="002B1AB0"/>
    <w:rPr>
      <w:rFonts w:ascii="Trebuchet MS" w:hAnsi="Trebuchet MS"/>
      <w:iCs/>
      <w:sz w:val="20"/>
      <w:u w:val="single"/>
    </w:rPr>
  </w:style>
  <w:style w:type="character" w:customStyle="1" w:styleId="Heading7Char">
    <w:name w:val="Heading 7 Char"/>
    <w:basedOn w:val="DefaultParagraphFont"/>
    <w:link w:val="Heading7"/>
    <w:uiPriority w:val="9"/>
    <w:rsid w:val="002B1AB0"/>
    <w:rPr>
      <w:rFonts w:ascii="Trebuchet MS" w:hAnsi="Trebuchet MS"/>
      <w:sz w:val="20"/>
    </w:rPr>
  </w:style>
  <w:style w:type="character" w:customStyle="1" w:styleId="Heading8Char">
    <w:name w:val="Heading 8 Char"/>
    <w:basedOn w:val="DefaultParagraphFont"/>
    <w:link w:val="Heading8"/>
    <w:uiPriority w:val="9"/>
    <w:rsid w:val="002B1AB0"/>
    <w:rPr>
      <w:rFonts w:ascii="Trebuchet MS" w:hAnsi="Trebuchet MS"/>
      <w:sz w:val="20"/>
      <w:szCs w:val="20"/>
    </w:rPr>
  </w:style>
  <w:style w:type="character" w:customStyle="1" w:styleId="Heading9Char">
    <w:name w:val="Heading 9 Char"/>
    <w:basedOn w:val="DefaultParagraphFont"/>
    <w:link w:val="Heading9"/>
    <w:uiPriority w:val="9"/>
    <w:rsid w:val="002B1AB0"/>
    <w:rPr>
      <w:rFonts w:ascii="Trebuchet MS" w:hAnsi="Trebuchet MS"/>
      <w:iCs/>
      <w:sz w:val="20"/>
      <w:szCs w:val="20"/>
    </w:rPr>
  </w:style>
  <w:style w:type="character" w:styleId="Hyperlink">
    <w:name w:val="Hyperlink"/>
    <w:basedOn w:val="DefaultParagraphFont"/>
    <w:uiPriority w:val="99"/>
    <w:unhideWhenUsed/>
    <w:rsid w:val="002B1AB0"/>
    <w:rPr>
      <w:color w:val="auto"/>
      <w:u w:val="none"/>
    </w:rPr>
  </w:style>
  <w:style w:type="paragraph" w:customStyle="1" w:styleId="Impactdescription">
    <w:name w:val="Impact description"/>
    <w:basedOn w:val="BodyText"/>
    <w:link w:val="ImpactdescriptionChar"/>
    <w:rsid w:val="002B1AB0"/>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2B1AB0"/>
  </w:style>
  <w:style w:type="character" w:customStyle="1" w:styleId="ImpactNoChar">
    <w:name w:val="Impact_No. Char"/>
    <w:basedOn w:val="BodyTextChar"/>
    <w:link w:val="ImpactNo"/>
    <w:rsid w:val="002B1AB0"/>
    <w:rPr>
      <w:rFonts w:ascii="Trebuchet MS" w:hAnsi="Trebuchet MS"/>
      <w:sz w:val="24"/>
      <w:szCs w:val="26"/>
    </w:rPr>
  </w:style>
  <w:style w:type="paragraph" w:customStyle="1" w:styleId="Mitigationtitle">
    <w:name w:val="Mitigation title"/>
    <w:basedOn w:val="Heading5"/>
    <w:rsid w:val="002B1AB0"/>
    <w:rPr>
      <w:rFonts w:ascii="Segoe UI Semilight" w:eastAsia="Calibri" w:hAnsi="Segoe UI Semilight"/>
      <w:b/>
      <w:w w:val="90"/>
      <w:sz w:val="22"/>
    </w:rPr>
  </w:style>
  <w:style w:type="paragraph" w:customStyle="1" w:styleId="MMBullet2">
    <w:name w:val="MM Bullet 2"/>
    <w:basedOn w:val="Bullet2"/>
    <w:qFormat/>
    <w:rsid w:val="002B1AB0"/>
    <w:pPr>
      <w:numPr>
        <w:numId w:val="9"/>
      </w:numPr>
    </w:pPr>
  </w:style>
  <w:style w:type="paragraph" w:customStyle="1" w:styleId="Mitigationtext">
    <w:name w:val="Mitigation text"/>
    <w:basedOn w:val="BodyText"/>
    <w:qFormat/>
    <w:rsid w:val="002B1AB0"/>
    <w:pPr>
      <w:spacing w:before="60"/>
    </w:pPr>
    <w:rPr>
      <w:spacing w:val="-2"/>
    </w:rPr>
  </w:style>
  <w:style w:type="paragraph" w:customStyle="1" w:styleId="MMBullet1">
    <w:name w:val="MM Bullet 1"/>
    <w:basedOn w:val="Mitigationtext"/>
    <w:qFormat/>
    <w:rsid w:val="002B1AB0"/>
    <w:pPr>
      <w:numPr>
        <w:numId w:val="6"/>
      </w:numPr>
      <w:spacing w:before="0"/>
    </w:pPr>
  </w:style>
  <w:style w:type="paragraph" w:customStyle="1" w:styleId="TableColumn">
    <w:name w:val="TableColumn"/>
    <w:basedOn w:val="BodyText"/>
    <w:qFormat/>
    <w:rsid w:val="002B1AB0"/>
    <w:pPr>
      <w:spacing w:after="0"/>
      <w:jc w:val="center"/>
    </w:pPr>
    <w:rPr>
      <w:b/>
      <w:spacing w:val="-4"/>
      <w:w w:val="95"/>
      <w:sz w:val="18"/>
    </w:rPr>
  </w:style>
  <w:style w:type="paragraph" w:customStyle="1" w:styleId="TableBullet1">
    <w:name w:val="Table Bullet 1"/>
    <w:basedOn w:val="Normal"/>
    <w:qFormat/>
    <w:rsid w:val="002B1AB0"/>
    <w:pPr>
      <w:numPr>
        <w:numId w:val="5"/>
      </w:numPr>
      <w:spacing w:after="60"/>
      <w:ind w:left="216" w:hanging="216"/>
    </w:pPr>
    <w:rPr>
      <w:bCs/>
      <w:w w:val="90"/>
      <w:sz w:val="18"/>
    </w:rPr>
  </w:style>
  <w:style w:type="paragraph" w:customStyle="1" w:styleId="TableHeader">
    <w:name w:val="TableHeader"/>
    <w:basedOn w:val="Normal"/>
    <w:qFormat/>
    <w:rsid w:val="002B1AB0"/>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2B1AB0"/>
    <w:pPr>
      <w:spacing w:line="240" w:lineRule="exact"/>
      <w:jc w:val="center"/>
    </w:pPr>
    <w:rPr>
      <w:w w:val="90"/>
      <w:sz w:val="18"/>
      <w:szCs w:val="20"/>
    </w:rPr>
  </w:style>
  <w:style w:type="paragraph" w:customStyle="1" w:styleId="TableRow">
    <w:name w:val="TableRow"/>
    <w:basedOn w:val="Normal"/>
    <w:qFormat/>
    <w:rsid w:val="002B1AB0"/>
    <w:rPr>
      <w:b/>
      <w:bCs/>
      <w:sz w:val="18"/>
    </w:rPr>
  </w:style>
  <w:style w:type="paragraph" w:customStyle="1" w:styleId="TableSource">
    <w:name w:val="TableSource"/>
    <w:basedOn w:val="Normal"/>
    <w:qFormat/>
    <w:rsid w:val="002B1AB0"/>
    <w:pPr>
      <w:spacing w:after="120"/>
    </w:pPr>
    <w:rPr>
      <w:bCs/>
      <w:color w:val="262626" w:themeColor="text1" w:themeTint="D9"/>
      <w:sz w:val="16"/>
    </w:rPr>
  </w:style>
  <w:style w:type="paragraph" w:styleId="TOC1">
    <w:name w:val="toc 1"/>
    <w:basedOn w:val="Normal"/>
    <w:next w:val="Normal"/>
    <w:autoRedefine/>
    <w:uiPriority w:val="39"/>
    <w:unhideWhenUsed/>
    <w:rsid w:val="002B1AB0"/>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2B1AB0"/>
    <w:pPr>
      <w:tabs>
        <w:tab w:val="right" w:leader="dot" w:pos="10080"/>
      </w:tabs>
      <w:ind w:left="1440" w:right="720" w:hanging="720"/>
    </w:pPr>
  </w:style>
  <w:style w:type="paragraph" w:styleId="TOC3">
    <w:name w:val="toc 3"/>
    <w:basedOn w:val="Normal"/>
    <w:next w:val="Normal"/>
    <w:autoRedefine/>
    <w:uiPriority w:val="39"/>
    <w:unhideWhenUsed/>
    <w:rsid w:val="002B1AB0"/>
    <w:pPr>
      <w:tabs>
        <w:tab w:val="right" w:leader="dot" w:pos="10080"/>
      </w:tabs>
      <w:ind w:left="2160" w:right="720" w:hanging="720"/>
    </w:pPr>
  </w:style>
  <w:style w:type="paragraph" w:styleId="TOC4">
    <w:name w:val="toc 4"/>
    <w:basedOn w:val="Normal"/>
    <w:next w:val="Normal"/>
    <w:autoRedefine/>
    <w:uiPriority w:val="39"/>
    <w:rsid w:val="002B1AB0"/>
    <w:pPr>
      <w:tabs>
        <w:tab w:val="right" w:leader="dot" w:pos="10080"/>
      </w:tabs>
      <w:spacing w:after="100"/>
      <w:ind w:left="1440" w:right="720" w:hanging="1440"/>
    </w:pPr>
  </w:style>
  <w:style w:type="paragraph" w:styleId="TOC5">
    <w:name w:val="toc 5"/>
    <w:basedOn w:val="Normal"/>
    <w:next w:val="Normal"/>
    <w:autoRedefine/>
    <w:uiPriority w:val="39"/>
    <w:rsid w:val="002B1AB0"/>
    <w:pPr>
      <w:tabs>
        <w:tab w:val="right" w:leader="dot" w:pos="10080"/>
      </w:tabs>
      <w:spacing w:after="100"/>
      <w:ind w:left="720" w:hanging="720"/>
    </w:pPr>
  </w:style>
  <w:style w:type="paragraph" w:customStyle="1" w:styleId="TableBullet2">
    <w:name w:val="Table Bullet 2"/>
    <w:basedOn w:val="TableBullet1"/>
    <w:qFormat/>
    <w:rsid w:val="002B1AB0"/>
    <w:pPr>
      <w:numPr>
        <w:numId w:val="7"/>
      </w:numPr>
      <w:ind w:left="432" w:hanging="216"/>
    </w:pPr>
  </w:style>
  <w:style w:type="paragraph" w:customStyle="1" w:styleId="MMBullet3">
    <w:name w:val="MM Bullet 3"/>
    <w:basedOn w:val="BodyText"/>
    <w:qFormat/>
    <w:rsid w:val="002B1AB0"/>
    <w:pPr>
      <w:numPr>
        <w:numId w:val="8"/>
      </w:numPr>
    </w:pPr>
  </w:style>
  <w:style w:type="character" w:customStyle="1" w:styleId="ImpactdescriptionChar">
    <w:name w:val="Impact description Char"/>
    <w:basedOn w:val="DefaultParagraphFont"/>
    <w:link w:val="Impactdescription"/>
    <w:rsid w:val="002B1AB0"/>
    <w:rPr>
      <w:rFonts w:ascii="Segoe UI Semilight" w:hAnsi="Segoe UI Semilight"/>
      <w:sz w:val="20"/>
    </w:rPr>
  </w:style>
  <w:style w:type="paragraph" w:customStyle="1" w:styleId="TableTextL">
    <w:name w:val="TableTextL"/>
    <w:basedOn w:val="TableText"/>
    <w:qFormat/>
    <w:rsid w:val="002B1AB0"/>
    <w:pPr>
      <w:jc w:val="left"/>
    </w:pPr>
  </w:style>
  <w:style w:type="character" w:styleId="CommentReference">
    <w:name w:val="annotation reference"/>
    <w:basedOn w:val="DefaultParagraphFont"/>
    <w:uiPriority w:val="99"/>
    <w:unhideWhenUsed/>
    <w:rsid w:val="00483F94"/>
    <w:rPr>
      <w:sz w:val="16"/>
      <w:szCs w:val="16"/>
    </w:rPr>
  </w:style>
  <w:style w:type="paragraph" w:styleId="CommentText">
    <w:name w:val="annotation text"/>
    <w:basedOn w:val="Normal"/>
    <w:link w:val="CommentTextChar"/>
    <w:uiPriority w:val="99"/>
    <w:semiHidden/>
    <w:unhideWhenUsed/>
    <w:rsid w:val="00483F94"/>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483F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3F94"/>
    <w:rPr>
      <w:b/>
      <w:bCs/>
    </w:rPr>
  </w:style>
  <w:style w:type="character" w:customStyle="1" w:styleId="CommentSubjectChar">
    <w:name w:val="Comment Subject Char"/>
    <w:basedOn w:val="CommentTextChar"/>
    <w:link w:val="CommentSubject"/>
    <w:uiPriority w:val="99"/>
    <w:semiHidden/>
    <w:rsid w:val="00483F94"/>
    <w:rPr>
      <w:rFonts w:ascii="Arial" w:eastAsia="Times New Roman" w:hAnsi="Arial" w:cs="Times New Roman"/>
      <w:b/>
      <w:bCs/>
      <w:sz w:val="20"/>
      <w:szCs w:val="20"/>
    </w:rPr>
  </w:style>
  <w:style w:type="paragraph" w:styleId="Revision">
    <w:name w:val="Revision"/>
    <w:hidden/>
    <w:uiPriority w:val="99"/>
    <w:semiHidden/>
    <w:rsid w:val="00483F94"/>
    <w:pPr>
      <w:spacing w:after="0" w:line="240" w:lineRule="auto"/>
    </w:pPr>
    <w:rPr>
      <w:rFonts w:ascii="Calibri" w:eastAsia="Times New Roman" w:hAnsi="Calibri" w:cs="Times New Roman"/>
      <w:szCs w:val="24"/>
    </w:rPr>
  </w:style>
  <w:style w:type="paragraph" w:customStyle="1" w:styleId="Header11x17">
    <w:name w:val="Header_11x17"/>
    <w:basedOn w:val="Header"/>
    <w:qFormat/>
    <w:rsid w:val="002B1AB0"/>
    <w:pPr>
      <w:tabs>
        <w:tab w:val="clear" w:pos="5040"/>
        <w:tab w:val="clear" w:pos="10080"/>
        <w:tab w:val="center" w:pos="11160"/>
        <w:tab w:val="right" w:pos="22320"/>
      </w:tabs>
    </w:pPr>
  </w:style>
  <w:style w:type="paragraph" w:customStyle="1" w:styleId="Footer11x17">
    <w:name w:val="Footer_11x17"/>
    <w:basedOn w:val="Footer"/>
    <w:qFormat/>
    <w:rsid w:val="002B1AB0"/>
    <w:pPr>
      <w:tabs>
        <w:tab w:val="clear" w:pos="10080"/>
        <w:tab w:val="right" w:pos="22320"/>
      </w:tabs>
    </w:pPr>
  </w:style>
  <w:style w:type="paragraph" w:customStyle="1" w:styleId="BodyText12ptbefore">
    <w:name w:val="Body Text_12pt before"/>
    <w:basedOn w:val="BodyText"/>
    <w:qFormat/>
    <w:rsid w:val="002B1AB0"/>
    <w:pPr>
      <w:spacing w:before="240"/>
    </w:pPr>
  </w:style>
  <w:style w:type="character" w:customStyle="1" w:styleId="PhotoChartChar">
    <w:name w:val="Photo/Chart Char"/>
    <w:basedOn w:val="DefaultParagraphFont"/>
    <w:link w:val="PhotoChart"/>
    <w:rsid w:val="002B1AB0"/>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2B1AB0"/>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2B1AB0"/>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2B1AB0"/>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2B1AB0"/>
    <w:pPr>
      <w:spacing w:after="600"/>
    </w:pPr>
  </w:style>
  <w:style w:type="paragraph" w:customStyle="1" w:styleId="PhotoChartPortraitDoubleLine">
    <w:name w:val="Photo/Chart Portrait Double Line"/>
    <w:basedOn w:val="Normal"/>
    <w:qFormat/>
    <w:rsid w:val="002B1AB0"/>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2B1AB0"/>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2B1AB0"/>
    <w:pPr>
      <w:ind w:left="1683"/>
    </w:pPr>
  </w:style>
  <w:style w:type="paragraph" w:customStyle="1" w:styleId="Figure">
    <w:name w:val="Figure"/>
    <w:basedOn w:val="Normal"/>
    <w:qFormat/>
    <w:rsid w:val="002B1AB0"/>
    <w:pPr>
      <w:keepNext/>
      <w:jc w:val="center"/>
    </w:pPr>
  </w:style>
  <w:style w:type="paragraph" w:customStyle="1" w:styleId="FigureSource">
    <w:name w:val="FigureSource"/>
    <w:basedOn w:val="Normal"/>
    <w:qFormat/>
    <w:rsid w:val="002B1AB0"/>
    <w:pPr>
      <w:keepNext/>
      <w:spacing w:after="120"/>
    </w:pPr>
    <w:rPr>
      <w:sz w:val="16"/>
    </w:rPr>
  </w:style>
  <w:style w:type="paragraph" w:customStyle="1" w:styleId="FigureTitle">
    <w:name w:val="FigureTitle"/>
    <w:basedOn w:val="Normal"/>
    <w:qFormat/>
    <w:rsid w:val="002B1AB0"/>
    <w:pPr>
      <w:spacing w:before="360"/>
    </w:pPr>
    <w:rPr>
      <w:b/>
    </w:rPr>
  </w:style>
  <w:style w:type="paragraph" w:styleId="BalloonText">
    <w:name w:val="Balloon Text"/>
    <w:basedOn w:val="Normal"/>
    <w:link w:val="BalloonTextChar"/>
    <w:uiPriority w:val="99"/>
    <w:semiHidden/>
    <w:unhideWhenUsed/>
    <w:rsid w:val="002B1AB0"/>
    <w:rPr>
      <w:rFonts w:ascii="Tahoma" w:hAnsi="Tahoma" w:cs="Tahoma"/>
      <w:sz w:val="16"/>
      <w:szCs w:val="16"/>
    </w:rPr>
  </w:style>
  <w:style w:type="character" w:customStyle="1" w:styleId="BalloonTextChar">
    <w:name w:val="Balloon Text Char"/>
    <w:basedOn w:val="DefaultParagraphFont"/>
    <w:link w:val="BalloonText"/>
    <w:uiPriority w:val="99"/>
    <w:semiHidden/>
    <w:rsid w:val="002B1AB0"/>
    <w:rPr>
      <w:rFonts w:ascii="Tahoma" w:hAnsi="Tahoma" w:cs="Tahoma"/>
      <w:sz w:val="16"/>
      <w:szCs w:val="16"/>
    </w:rPr>
  </w:style>
  <w:style w:type="table" w:styleId="LightShading">
    <w:name w:val="Light Shading"/>
    <w:basedOn w:val="TableNormal"/>
    <w:uiPriority w:val="60"/>
    <w:rsid w:val="002B1A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OCHEAD">
    <w:name w:val="TOCHEAD"/>
    <w:basedOn w:val="Heading1"/>
    <w:qFormat/>
    <w:rsid w:val="002B1AB0"/>
    <w:pPr>
      <w:numPr>
        <w:numId w:val="0"/>
      </w:numPr>
    </w:pPr>
  </w:style>
  <w:style w:type="table" w:styleId="TableGrid">
    <w:name w:val="Table Grid"/>
    <w:basedOn w:val="TableNormal"/>
    <w:uiPriority w:val="59"/>
    <w:rsid w:val="002B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B1AB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2B1AB0"/>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2B1AB0"/>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2B1AB0"/>
    <w:pPr>
      <w:spacing w:after="200" w:line="276" w:lineRule="auto"/>
      <w:jc w:val="center"/>
    </w:pPr>
    <w:rPr>
      <w:sz w:val="24"/>
      <w:szCs w:val="28"/>
    </w:rPr>
  </w:style>
  <w:style w:type="paragraph" w:customStyle="1" w:styleId="TitleDate">
    <w:name w:val="Title_Date"/>
    <w:basedOn w:val="Normal"/>
    <w:qFormat/>
    <w:rsid w:val="002B1AB0"/>
    <w:pPr>
      <w:spacing w:before="2640" w:after="200" w:line="276" w:lineRule="auto"/>
      <w:jc w:val="center"/>
    </w:pPr>
    <w:rPr>
      <w:rFonts w:ascii="Trebuchet MS" w:hAnsi="Trebuchet MS"/>
      <w:sz w:val="32"/>
      <w:szCs w:val="28"/>
    </w:rPr>
  </w:style>
  <w:style w:type="paragraph" w:customStyle="1" w:styleId="TitlePN">
    <w:name w:val="Title_PN"/>
    <w:basedOn w:val="Normal"/>
    <w:qFormat/>
    <w:rsid w:val="002B1AB0"/>
    <w:rPr>
      <w:rFonts w:ascii="Trebuchet MS" w:hAnsi="Trebuchet MS"/>
      <w:sz w:val="16"/>
      <w:szCs w:val="16"/>
    </w:rPr>
  </w:style>
  <w:style w:type="paragraph" w:customStyle="1" w:styleId="TitlePreparedFor">
    <w:name w:val="Title_PreparedFor"/>
    <w:basedOn w:val="Normal"/>
    <w:qFormat/>
    <w:rsid w:val="002B1AB0"/>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2B1AB0"/>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2B1AB0"/>
    <w:pPr>
      <w:spacing w:before="1440" w:after="120" w:line="560" w:lineRule="exact"/>
      <w:jc w:val="center"/>
    </w:pPr>
    <w:rPr>
      <w:rFonts w:ascii="Trebuchet MS" w:hAnsi="Trebuchet MS"/>
      <w:sz w:val="40"/>
      <w:szCs w:val="36"/>
    </w:rPr>
  </w:style>
  <w:style w:type="paragraph" w:customStyle="1" w:styleId="Exhibit">
    <w:name w:val="Exhibit"/>
    <w:basedOn w:val="Normal"/>
    <w:qFormat/>
    <w:rsid w:val="002B1AB0"/>
    <w:pPr>
      <w:keepNext/>
      <w:jc w:val="center"/>
    </w:pPr>
  </w:style>
  <w:style w:type="paragraph" w:customStyle="1" w:styleId="ExhibitSource">
    <w:name w:val="ExhibitSource"/>
    <w:basedOn w:val="Normal"/>
    <w:qFormat/>
    <w:rsid w:val="002B1AB0"/>
    <w:pPr>
      <w:keepNext/>
      <w:spacing w:after="120"/>
    </w:pPr>
    <w:rPr>
      <w:sz w:val="16"/>
    </w:rPr>
  </w:style>
  <w:style w:type="paragraph" w:customStyle="1" w:styleId="ExhibitTitle">
    <w:name w:val="ExhibitTitle"/>
    <w:basedOn w:val="Normal"/>
    <w:qFormat/>
    <w:rsid w:val="002B1AB0"/>
    <w:pPr>
      <w:spacing w:before="360"/>
    </w:pPr>
    <w:rPr>
      <w:b/>
    </w:rPr>
  </w:style>
  <w:style w:type="paragraph" w:styleId="Caption">
    <w:name w:val="caption"/>
    <w:basedOn w:val="Normal"/>
    <w:next w:val="Normal"/>
    <w:uiPriority w:val="35"/>
    <w:unhideWhenUsed/>
    <w:qFormat/>
    <w:rsid w:val="002B1AB0"/>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2B1A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2B1AB0"/>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2B1AB0"/>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2B1AB0"/>
    <w:pPr>
      <w:spacing w:before="5520"/>
      <w:jc w:val="right"/>
    </w:pPr>
    <w:rPr>
      <w:rFonts w:ascii="Trebuchet MS" w:hAnsi="Trebuchet MS"/>
      <w:color w:val="FFFFFF" w:themeColor="background1"/>
      <w:sz w:val="22"/>
    </w:rPr>
  </w:style>
  <w:style w:type="paragraph" w:customStyle="1" w:styleId="CoverDate">
    <w:name w:val="Cover_Date"/>
    <w:basedOn w:val="Normal"/>
    <w:qFormat/>
    <w:rsid w:val="002B1AB0"/>
    <w:pPr>
      <w:spacing w:before="1320"/>
      <w:jc w:val="right"/>
    </w:pPr>
    <w:rPr>
      <w:rFonts w:ascii="Trebuchet MS" w:hAnsi="Trebuchet MS"/>
      <w:color w:val="FFFFFF" w:themeColor="background1"/>
      <w:sz w:val="32"/>
      <w:szCs w:val="32"/>
    </w:rPr>
  </w:style>
  <w:style w:type="character" w:styleId="UnresolvedMention">
    <w:name w:val="Unresolved Mention"/>
    <w:basedOn w:val="DefaultParagraphFont"/>
    <w:uiPriority w:val="99"/>
    <w:semiHidden/>
    <w:unhideWhenUsed/>
    <w:rsid w:val="003B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faep.org/docs/Draft_AEP_White_Paper_Lifecycle_CEQA_CAPs_082017.pdf" TargetMode="External"/><Relationship Id="rId13" Type="http://schemas.openxmlformats.org/officeDocument/2006/relationships/hyperlink" Target="https://regents.universityofcalifornia.edu/governance/policies/2109.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empervirens.org/wp-content/uploads/2021/04/SVF_Impact_2020_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s.fhwa.dot.gov/freewaymgmt/publications/frwy_mgmt_handbook/chapter5.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r.ca.gov/docs/20190122-743_Technical_Advisor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versityofcalifornia.edu/press-room/uc-s-california-student-enrollment-climbs-fourth-straight-year" TargetMode="External"/><Relationship Id="rId23" Type="http://schemas.openxmlformats.org/officeDocument/2006/relationships/fontTable" Target="fontTable.xml"/><Relationship Id="rId10" Type="http://schemas.openxmlformats.org/officeDocument/2006/relationships/hyperlink" Target="https://dot.ca.gov/-/media/dot-media/programs/transportation-planning/documents/sb-743/2020-09-10-1st-edition-tac-fnl-a11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re.ca.gov/programs/resource-management/resource-protection-improvement/vegetation-management-program/" TargetMode="External"/><Relationship Id="rId14" Type="http://schemas.openxmlformats.org/officeDocument/2006/relationships/hyperlink" Target="https://www.ucop.edu/capital-planning/resources/cfp_2020-26_v_final.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D816-637D-4D84-B8F0-3265A0C6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5503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Final Environmental Impact Report for the University of California, Santa Cruz 2021 Long Range Development Plan</vt:lpstr>
    </vt:vector>
  </TitlesOfParts>
  <Manager>University of California Santa Cruz</Manager>
  <Company>University of California Santa Cruz</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Impact Report for the University of California, Santa Cruz 2021 Long Range Development Plan</dc:title>
  <dc:subject>Final Environmental Impact Report for the University of California, Santa Cruz 2021 Long Range Development Plan</dc:subject>
  <dc:creator>University of California Santa Cruz</dc:creator>
  <cp:keywords>UC Santa Cruz, UCSC, SCH No. 2020029086, FEIR, 2021 LRDP</cp:keywords>
  <cp:lastModifiedBy>Parker Welch</cp:lastModifiedBy>
  <cp:revision>6</cp:revision>
  <dcterms:created xsi:type="dcterms:W3CDTF">2021-09-07T22:36:00Z</dcterms:created>
  <dcterms:modified xsi:type="dcterms:W3CDTF">2021-09-13T20:45:00Z</dcterms:modified>
</cp:coreProperties>
</file>